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2FF" w:rsidRPr="00FB4E13" w:rsidRDefault="006772FF" w:rsidP="006772FF">
      <w:pPr>
        <w:rPr>
          <w:rFonts w:cs="Arial"/>
          <w:sz w:val="24"/>
          <w:szCs w:val="24"/>
        </w:rPr>
      </w:pPr>
    </w:p>
    <w:p w:rsidR="006772FF" w:rsidRPr="0063716B" w:rsidRDefault="006772FF" w:rsidP="006772FF">
      <w:pPr>
        <w:jc w:val="center"/>
        <w:rPr>
          <w:u w:val="single"/>
        </w:rPr>
      </w:pPr>
      <w:r>
        <w:rPr>
          <w:u w:val="single"/>
        </w:rPr>
        <w:t>RECORD OF DELEGATED DECISION</w:t>
      </w:r>
      <w:r w:rsidRPr="0063716B">
        <w:rPr>
          <w:u w:val="single"/>
        </w:rPr>
        <w:t xml:space="preserve"> BY</w:t>
      </w:r>
      <w:r>
        <w:rPr>
          <w:u w:val="single"/>
        </w:rPr>
        <w:t xml:space="preserve"> </w:t>
      </w:r>
      <w:r>
        <w:rPr>
          <w:u w:val="single"/>
        </w:rPr>
        <w:t>THE HEAD OF HOUSING</w:t>
      </w:r>
    </w:p>
    <w:p w:rsidR="006772FF" w:rsidRPr="0063716B" w:rsidRDefault="006772FF" w:rsidP="006772FF">
      <w:pPr>
        <w:jc w:val="cente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9"/>
        <w:gridCol w:w="652"/>
        <w:gridCol w:w="175"/>
        <w:gridCol w:w="885"/>
        <w:gridCol w:w="1219"/>
        <w:gridCol w:w="1613"/>
      </w:tblGrid>
      <w:tr w:rsidR="006772FF" w:rsidRPr="005D5EBE" w:rsidTr="00946291">
        <w:tc>
          <w:tcPr>
            <w:tcW w:w="4561" w:type="dxa"/>
            <w:gridSpan w:val="2"/>
            <w:shd w:val="clear" w:color="auto" w:fill="auto"/>
          </w:tcPr>
          <w:p w:rsidR="006772FF" w:rsidRPr="005D5EBE" w:rsidRDefault="006772FF" w:rsidP="00946291">
            <w:r>
              <w:t>Delegated</w:t>
            </w:r>
            <w:r w:rsidRPr="005D5EBE">
              <w:t xml:space="preserve"> Decision</w:t>
            </w:r>
            <w:r>
              <w:t xml:space="preserve"> of Head of Health &amp; Communities</w:t>
            </w:r>
          </w:p>
        </w:tc>
        <w:tc>
          <w:tcPr>
            <w:tcW w:w="3892" w:type="dxa"/>
            <w:gridSpan w:val="4"/>
            <w:shd w:val="clear" w:color="auto" w:fill="auto"/>
          </w:tcPr>
          <w:p w:rsidR="006772FF" w:rsidRPr="005D5EBE" w:rsidRDefault="006772FF" w:rsidP="00946291">
            <w:r w:rsidRPr="005D5EBE">
              <w:t>Date of Decision:</w:t>
            </w:r>
            <w:r>
              <w:t xml:space="preserve">  27.4.21</w:t>
            </w:r>
          </w:p>
        </w:tc>
      </w:tr>
      <w:tr w:rsidR="006772FF" w:rsidRPr="005D5EBE" w:rsidTr="00946291">
        <w:tc>
          <w:tcPr>
            <w:tcW w:w="8453" w:type="dxa"/>
            <w:gridSpan w:val="6"/>
            <w:shd w:val="clear" w:color="auto" w:fill="auto"/>
          </w:tcPr>
          <w:p w:rsidR="006772FF" w:rsidRPr="006772FF" w:rsidRDefault="006772FF" w:rsidP="00946291">
            <w:r w:rsidRPr="006772FF">
              <w:rPr>
                <w:rFonts w:cs="Arial"/>
                <w:sz w:val="24"/>
                <w:szCs w:val="24"/>
              </w:rPr>
              <w:t>AWARD OF CONTRACT FOR  AN EXTERNAL LIFT INSTALLATION AT WATER MEADOWS SWIMMING AND FITNESS COMPLEX</w:t>
            </w:r>
          </w:p>
        </w:tc>
      </w:tr>
      <w:tr w:rsidR="006772FF" w:rsidRPr="005D5EBE" w:rsidTr="00946291">
        <w:tc>
          <w:tcPr>
            <w:tcW w:w="8453" w:type="dxa"/>
            <w:gridSpan w:val="6"/>
            <w:shd w:val="clear" w:color="auto" w:fill="auto"/>
          </w:tcPr>
          <w:p w:rsidR="006772FF" w:rsidRPr="005D5EBE" w:rsidRDefault="006772FF" w:rsidP="00946291">
            <w:r w:rsidRPr="005D5EBE">
              <w:t xml:space="preserve">Consultee member (if applicable): </w:t>
            </w:r>
          </w:p>
          <w:p w:rsidR="006772FF" w:rsidRPr="005D5EBE" w:rsidRDefault="006772FF" w:rsidP="00946291"/>
        </w:tc>
      </w:tr>
      <w:tr w:rsidR="006772FF" w:rsidRPr="005D5EBE" w:rsidTr="00946291">
        <w:tc>
          <w:tcPr>
            <w:tcW w:w="4736" w:type="dxa"/>
            <w:gridSpan w:val="3"/>
            <w:shd w:val="clear" w:color="auto" w:fill="auto"/>
          </w:tcPr>
          <w:p w:rsidR="006772FF" w:rsidRPr="005D5EBE" w:rsidRDefault="006772FF" w:rsidP="00946291">
            <w:r w:rsidRPr="005D5EBE">
              <w:t xml:space="preserve">Key Decision </w:t>
            </w:r>
            <w:r>
              <w:t>–  No</w:t>
            </w:r>
          </w:p>
        </w:tc>
        <w:tc>
          <w:tcPr>
            <w:tcW w:w="3717" w:type="dxa"/>
            <w:gridSpan w:val="3"/>
            <w:shd w:val="clear" w:color="auto" w:fill="auto"/>
          </w:tcPr>
          <w:p w:rsidR="006772FF" w:rsidRPr="005D5EBE" w:rsidRDefault="006772FF" w:rsidP="00946291">
            <w:r w:rsidRPr="005D5EBE">
              <w:t>Delegation Reference</w:t>
            </w:r>
            <w:r>
              <w:t xml:space="preserve">: </w:t>
            </w:r>
            <w:r>
              <w:rPr>
                <w:rFonts w:cs="Arial"/>
                <w:color w:val="002060"/>
                <w:sz w:val="24"/>
                <w:szCs w:val="24"/>
              </w:rPr>
              <w:t>21/21/HW</w:t>
            </w:r>
          </w:p>
          <w:p w:rsidR="006772FF" w:rsidRPr="005D5EBE" w:rsidRDefault="006772FF" w:rsidP="00946291"/>
        </w:tc>
      </w:tr>
      <w:tr w:rsidR="006772FF" w:rsidRPr="005D5EBE" w:rsidTr="00946291">
        <w:tc>
          <w:tcPr>
            <w:tcW w:w="3909" w:type="dxa"/>
            <w:shd w:val="clear" w:color="auto" w:fill="auto"/>
          </w:tcPr>
          <w:p w:rsidR="006772FF" w:rsidRPr="005D5EBE" w:rsidRDefault="006772FF" w:rsidP="00946291">
            <w:r w:rsidRPr="005D5EBE">
              <w:t xml:space="preserve">Report and background </w:t>
            </w:r>
          </w:p>
        </w:tc>
        <w:tc>
          <w:tcPr>
            <w:tcW w:w="652" w:type="dxa"/>
            <w:shd w:val="clear" w:color="auto" w:fill="auto"/>
          </w:tcPr>
          <w:p w:rsidR="006772FF" w:rsidRPr="002870DE" w:rsidRDefault="006772FF" w:rsidP="00946291">
            <w:pPr>
              <w:rPr>
                <w:b/>
              </w:rPr>
            </w:pPr>
            <w:r w:rsidRPr="002870DE">
              <w:rPr>
                <w:b/>
              </w:rPr>
              <w:t>Yes</w:t>
            </w:r>
          </w:p>
          <w:p w:rsidR="006772FF" w:rsidRPr="005D5EBE" w:rsidRDefault="006772FF" w:rsidP="00946291"/>
        </w:tc>
        <w:tc>
          <w:tcPr>
            <w:tcW w:w="1060" w:type="dxa"/>
            <w:gridSpan w:val="2"/>
            <w:shd w:val="clear" w:color="auto" w:fill="auto"/>
          </w:tcPr>
          <w:p w:rsidR="006772FF" w:rsidRPr="005D5EBE" w:rsidRDefault="006772FF" w:rsidP="00946291">
            <w:r w:rsidRPr="005D5EBE">
              <w:t xml:space="preserve">Public </w:t>
            </w:r>
          </w:p>
          <w:p w:rsidR="006772FF" w:rsidRPr="005D5EBE" w:rsidRDefault="006772FF" w:rsidP="00946291"/>
        </w:tc>
        <w:tc>
          <w:tcPr>
            <w:tcW w:w="1219" w:type="dxa"/>
            <w:shd w:val="clear" w:color="auto" w:fill="auto"/>
          </w:tcPr>
          <w:p w:rsidR="006772FF" w:rsidRPr="005D5EBE" w:rsidRDefault="006772FF" w:rsidP="00946291">
            <w:r w:rsidRPr="005D5EBE">
              <w:t>Exempt</w:t>
            </w:r>
          </w:p>
          <w:p w:rsidR="006772FF" w:rsidRPr="005D5EBE" w:rsidRDefault="006772FF" w:rsidP="00946291"/>
        </w:tc>
        <w:tc>
          <w:tcPr>
            <w:tcW w:w="1613" w:type="dxa"/>
            <w:shd w:val="clear" w:color="auto" w:fill="auto"/>
          </w:tcPr>
          <w:p w:rsidR="006772FF" w:rsidRPr="005D5EBE" w:rsidRDefault="006772FF" w:rsidP="00946291">
            <w:r w:rsidRPr="005D5EBE">
              <w:t xml:space="preserve">Confidential </w:t>
            </w:r>
          </w:p>
          <w:p w:rsidR="006772FF" w:rsidRPr="005D5EBE" w:rsidRDefault="006772FF" w:rsidP="00946291"/>
        </w:tc>
      </w:tr>
      <w:tr w:rsidR="006772FF" w:rsidRPr="005D5EBE" w:rsidTr="00946291">
        <w:tc>
          <w:tcPr>
            <w:tcW w:w="8453" w:type="dxa"/>
            <w:gridSpan w:val="6"/>
            <w:shd w:val="clear" w:color="auto" w:fill="auto"/>
          </w:tcPr>
          <w:p w:rsidR="006772FF" w:rsidRPr="005D5EBE" w:rsidRDefault="006772FF" w:rsidP="00946291">
            <w:r w:rsidRPr="005D5EBE">
              <w:t>Record of Decision</w:t>
            </w:r>
          </w:p>
          <w:p w:rsidR="006772FF" w:rsidRPr="005D5EBE" w:rsidRDefault="006772FF" w:rsidP="00946291"/>
          <w:p w:rsidR="006772FF" w:rsidRDefault="006772FF" w:rsidP="00946291">
            <w:r>
              <w:rPr>
                <w:sz w:val="24"/>
                <w:szCs w:val="24"/>
              </w:rPr>
              <w:t xml:space="preserve">That the contract to install an external lift at Water Meadows Swimming and Fitness Complex is awarded to </w:t>
            </w:r>
            <w:r w:rsidRPr="00E34479">
              <w:rPr>
                <w:sz w:val="24"/>
                <w:szCs w:val="24"/>
              </w:rPr>
              <w:t>the winning contractor</w:t>
            </w:r>
            <w:r w:rsidRPr="00CB2636">
              <w:rPr>
                <w:rFonts w:eastAsia="Calibri"/>
                <w:sz w:val="24"/>
                <w:szCs w:val="24"/>
                <w:lang w:eastAsia="en-US"/>
              </w:rPr>
              <w:t xml:space="preserve"> </w:t>
            </w:r>
            <w:proofErr w:type="spellStart"/>
            <w:r>
              <w:rPr>
                <w:rFonts w:eastAsia="Calibri"/>
                <w:sz w:val="24"/>
                <w:szCs w:val="24"/>
                <w:lang w:eastAsia="en-US"/>
              </w:rPr>
              <w:t>Vaugha</w:t>
            </w:r>
            <w:r w:rsidRPr="00CB2636">
              <w:rPr>
                <w:rFonts w:eastAsia="Calibri"/>
                <w:sz w:val="24"/>
                <w:szCs w:val="24"/>
                <w:lang w:eastAsia="en-US"/>
              </w:rPr>
              <w:t>ndale</w:t>
            </w:r>
            <w:proofErr w:type="spellEnd"/>
            <w:r>
              <w:rPr>
                <w:rFonts w:eastAsia="Calibri"/>
                <w:sz w:val="24"/>
                <w:szCs w:val="24"/>
                <w:lang w:eastAsia="en-US"/>
              </w:rPr>
              <w:t xml:space="preserve"> Construction Ltd</w:t>
            </w:r>
            <w:r>
              <w:rPr>
                <w:sz w:val="24"/>
                <w:szCs w:val="24"/>
              </w:rPr>
              <w:t xml:space="preserve"> </w:t>
            </w:r>
            <w:r w:rsidRPr="00E34479">
              <w:rPr>
                <w:sz w:val="24"/>
                <w:szCs w:val="24"/>
              </w:rPr>
              <w:t>(identified in exempt appendix 1)</w:t>
            </w:r>
            <w:r>
              <w:rPr>
                <w:sz w:val="24"/>
                <w:szCs w:val="24"/>
              </w:rPr>
              <w:t>;</w:t>
            </w:r>
          </w:p>
          <w:p w:rsidR="006772FF" w:rsidRPr="005D5EBE" w:rsidRDefault="006772FF" w:rsidP="00946291"/>
        </w:tc>
      </w:tr>
      <w:tr w:rsidR="006772FF" w:rsidRPr="005D5EBE" w:rsidTr="00946291">
        <w:tc>
          <w:tcPr>
            <w:tcW w:w="8453" w:type="dxa"/>
            <w:gridSpan w:val="6"/>
            <w:shd w:val="clear" w:color="auto" w:fill="auto"/>
          </w:tcPr>
          <w:p w:rsidR="006772FF" w:rsidRDefault="006772FF" w:rsidP="00946291">
            <w:pPr>
              <w:jc w:val="left"/>
            </w:pPr>
            <w:r w:rsidRPr="005D5EBE">
              <w:t>Reasons for decision</w:t>
            </w:r>
          </w:p>
          <w:p w:rsidR="006772FF" w:rsidRPr="00FB43A8" w:rsidRDefault="006772FF" w:rsidP="00946291">
            <w:pPr>
              <w:ind w:left="720" w:hanging="720"/>
              <w:jc w:val="left"/>
              <w:rPr>
                <w:rFonts w:cs="Arial"/>
                <w:sz w:val="24"/>
                <w:szCs w:val="24"/>
              </w:rPr>
            </w:pPr>
            <w:r>
              <w:rPr>
                <w:sz w:val="24"/>
                <w:szCs w:val="24"/>
              </w:rPr>
              <w:t xml:space="preserve">           The Head of Health and Communities authorised the open tender process for these works (Decision 20/10/HW</w:t>
            </w:r>
            <w:r w:rsidRPr="00485250">
              <w:rPr>
                <w:sz w:val="24"/>
                <w:szCs w:val="24"/>
              </w:rPr>
              <w:t>)</w:t>
            </w:r>
            <w:r w:rsidRPr="007F00B0">
              <w:rPr>
                <w:color w:val="FF0000"/>
                <w:sz w:val="24"/>
                <w:szCs w:val="24"/>
              </w:rPr>
              <w:t xml:space="preserve"> </w:t>
            </w:r>
            <w:r>
              <w:rPr>
                <w:sz w:val="24"/>
                <w:szCs w:val="24"/>
              </w:rPr>
              <w:t>on 29 September 2020.</w:t>
            </w:r>
            <w:r>
              <w:rPr>
                <w:rFonts w:cs="Arial"/>
                <w:sz w:val="24"/>
                <w:szCs w:val="24"/>
              </w:rPr>
              <w:t xml:space="preserve"> </w:t>
            </w:r>
            <w:r>
              <w:rPr>
                <w:sz w:val="24"/>
                <w:szCs w:val="24"/>
              </w:rPr>
              <w:t xml:space="preserve">Tenders were sought by invitation to bidders through the Council’s Shared Procurement Service and advertised on </w:t>
            </w:r>
            <w:proofErr w:type="spellStart"/>
            <w:r w:rsidRPr="00C84A1F">
              <w:rPr>
                <w:rFonts w:eastAsia="Calibri"/>
                <w:sz w:val="24"/>
                <w:szCs w:val="24"/>
                <w:lang w:eastAsia="en-US"/>
              </w:rPr>
              <w:t>Proactis</w:t>
            </w:r>
            <w:proofErr w:type="spellEnd"/>
            <w:r>
              <w:rPr>
                <w:sz w:val="24"/>
                <w:szCs w:val="24"/>
              </w:rPr>
              <w:t xml:space="preserve">. This is due to the specialist nature of this installation. </w:t>
            </w:r>
          </w:p>
          <w:p w:rsidR="006772FF" w:rsidRDefault="006772FF" w:rsidP="00946291">
            <w:pPr>
              <w:ind w:left="720" w:hanging="720"/>
              <w:jc w:val="left"/>
              <w:rPr>
                <w:sz w:val="24"/>
                <w:szCs w:val="24"/>
              </w:rPr>
            </w:pPr>
          </w:p>
          <w:p w:rsidR="006772FF" w:rsidRPr="00F01C85" w:rsidRDefault="006772FF" w:rsidP="00946291">
            <w:pPr>
              <w:ind w:left="720" w:hanging="720"/>
              <w:jc w:val="left"/>
              <w:rPr>
                <w:sz w:val="24"/>
                <w:szCs w:val="24"/>
              </w:rPr>
            </w:pPr>
            <w:r>
              <w:rPr>
                <w:sz w:val="24"/>
                <w:szCs w:val="24"/>
              </w:rPr>
              <w:t xml:space="preserve">          There were two interested parties, however one company removed themselves from the bidding process. Therefore 1 tender was received. The form of tender was evaluated with the evaluation being weighted at 100% cost. The contract period is for twelve weeks. Exempt appendix (1) provides a summary of all tenders received. </w:t>
            </w:r>
          </w:p>
          <w:p w:rsidR="006772FF" w:rsidRDefault="006772FF" w:rsidP="00946291">
            <w:pPr>
              <w:jc w:val="left"/>
              <w:rPr>
                <w:sz w:val="24"/>
                <w:szCs w:val="24"/>
              </w:rPr>
            </w:pPr>
          </w:p>
          <w:p w:rsidR="006772FF" w:rsidRDefault="006772FF" w:rsidP="00946291">
            <w:pPr>
              <w:ind w:left="720" w:hanging="720"/>
              <w:jc w:val="left"/>
              <w:rPr>
                <w:sz w:val="24"/>
                <w:szCs w:val="24"/>
              </w:rPr>
            </w:pPr>
            <w:r>
              <w:rPr>
                <w:sz w:val="24"/>
                <w:szCs w:val="24"/>
              </w:rPr>
              <w:t xml:space="preserve">           </w:t>
            </w:r>
            <w:r w:rsidRPr="00800974">
              <w:rPr>
                <w:sz w:val="24"/>
                <w:szCs w:val="24"/>
              </w:rPr>
              <w:t>It is recommended that the contract is awarded to the wi</w:t>
            </w:r>
            <w:r>
              <w:rPr>
                <w:sz w:val="24"/>
                <w:szCs w:val="24"/>
              </w:rPr>
              <w:t xml:space="preserve">nning contractor of </w:t>
            </w:r>
            <w:proofErr w:type="spellStart"/>
            <w:r>
              <w:rPr>
                <w:rFonts w:eastAsia="Calibri"/>
                <w:sz w:val="24"/>
                <w:szCs w:val="24"/>
                <w:lang w:eastAsia="en-US"/>
              </w:rPr>
              <w:t>Vaugha</w:t>
            </w:r>
            <w:r w:rsidRPr="00CB2636">
              <w:rPr>
                <w:rFonts w:eastAsia="Calibri"/>
                <w:sz w:val="24"/>
                <w:szCs w:val="24"/>
                <w:lang w:eastAsia="en-US"/>
              </w:rPr>
              <w:t>ndale</w:t>
            </w:r>
            <w:proofErr w:type="spellEnd"/>
            <w:r>
              <w:rPr>
                <w:rFonts w:eastAsia="Calibri"/>
                <w:sz w:val="24"/>
                <w:szCs w:val="24"/>
                <w:lang w:eastAsia="en-US"/>
              </w:rPr>
              <w:t xml:space="preserve"> Construction Ltd </w:t>
            </w:r>
            <w:r w:rsidRPr="00CB2636">
              <w:rPr>
                <w:sz w:val="24"/>
                <w:szCs w:val="24"/>
              </w:rPr>
              <w:t>with the lowest tender co</w:t>
            </w:r>
            <w:r>
              <w:rPr>
                <w:sz w:val="24"/>
                <w:szCs w:val="24"/>
              </w:rPr>
              <w:t>st</w:t>
            </w:r>
            <w:r>
              <w:rPr>
                <w:rFonts w:eastAsia="Calibri"/>
                <w:sz w:val="24"/>
                <w:szCs w:val="24"/>
                <w:lang w:eastAsia="en-US"/>
              </w:rPr>
              <w:t>,</w:t>
            </w:r>
            <w:r>
              <w:rPr>
                <w:color w:val="FF0000"/>
                <w:sz w:val="24"/>
                <w:szCs w:val="24"/>
              </w:rPr>
              <w:t xml:space="preserve"> </w:t>
            </w:r>
            <w:r>
              <w:rPr>
                <w:sz w:val="24"/>
                <w:szCs w:val="24"/>
              </w:rPr>
              <w:t>identified in a</w:t>
            </w:r>
            <w:r w:rsidRPr="00800974">
              <w:rPr>
                <w:sz w:val="24"/>
                <w:szCs w:val="24"/>
              </w:rPr>
              <w:t xml:space="preserve">ppendix 1 </w:t>
            </w:r>
            <w:r>
              <w:rPr>
                <w:sz w:val="24"/>
                <w:szCs w:val="24"/>
              </w:rPr>
              <w:t>(</w:t>
            </w:r>
            <w:r w:rsidRPr="00800974">
              <w:rPr>
                <w:sz w:val="24"/>
                <w:szCs w:val="24"/>
              </w:rPr>
              <w:t>exempt appen</w:t>
            </w:r>
            <w:r>
              <w:rPr>
                <w:sz w:val="24"/>
                <w:szCs w:val="24"/>
              </w:rPr>
              <w:t>d</w:t>
            </w:r>
            <w:r w:rsidRPr="00800974">
              <w:rPr>
                <w:sz w:val="24"/>
                <w:szCs w:val="24"/>
              </w:rPr>
              <w:t>ices</w:t>
            </w:r>
            <w:r>
              <w:rPr>
                <w:sz w:val="24"/>
                <w:szCs w:val="24"/>
              </w:rPr>
              <w:t>).</w:t>
            </w:r>
          </w:p>
          <w:p w:rsidR="006772FF" w:rsidRDefault="006772FF" w:rsidP="00946291">
            <w:pPr>
              <w:ind w:left="720" w:hanging="720"/>
              <w:jc w:val="left"/>
              <w:rPr>
                <w:sz w:val="24"/>
                <w:szCs w:val="24"/>
              </w:rPr>
            </w:pPr>
          </w:p>
          <w:p w:rsidR="006772FF" w:rsidRDefault="006772FF" w:rsidP="00946291">
            <w:pPr>
              <w:ind w:left="720" w:hanging="720"/>
              <w:jc w:val="left"/>
              <w:rPr>
                <w:sz w:val="24"/>
                <w:szCs w:val="24"/>
              </w:rPr>
            </w:pPr>
            <w:r>
              <w:rPr>
                <w:sz w:val="24"/>
                <w:szCs w:val="24"/>
              </w:rPr>
              <w:t xml:space="preserve">           Design Services have considered the quote and are satisfied that the quote represents value for money.</w:t>
            </w:r>
          </w:p>
          <w:p w:rsidR="006772FF" w:rsidRPr="005D5EBE" w:rsidRDefault="006772FF" w:rsidP="00946291">
            <w:pPr>
              <w:jc w:val="left"/>
            </w:pPr>
          </w:p>
        </w:tc>
      </w:tr>
      <w:tr w:rsidR="006772FF" w:rsidRPr="005D5EBE" w:rsidTr="00946291">
        <w:tc>
          <w:tcPr>
            <w:tcW w:w="8453" w:type="dxa"/>
            <w:gridSpan w:val="6"/>
            <w:shd w:val="clear" w:color="auto" w:fill="auto"/>
          </w:tcPr>
          <w:p w:rsidR="006772FF" w:rsidRPr="005D5EBE" w:rsidRDefault="006772FF" w:rsidP="00946291">
            <w:r w:rsidRPr="005D5EBE">
              <w:t>Other options considered but rejected</w:t>
            </w:r>
          </w:p>
          <w:p w:rsidR="006772FF" w:rsidRPr="005D5EBE" w:rsidRDefault="006772FF" w:rsidP="00946291"/>
          <w:p w:rsidR="006772FF" w:rsidRPr="005D5EBE" w:rsidRDefault="006772FF" w:rsidP="00946291">
            <w:pPr>
              <w:rPr>
                <w:rFonts w:cs="Arial"/>
              </w:rPr>
            </w:pPr>
            <w:r w:rsidRPr="007F00B0">
              <w:rPr>
                <w:sz w:val="24"/>
                <w:szCs w:val="24"/>
              </w:rPr>
              <w:t xml:space="preserve">That the </w:t>
            </w:r>
            <w:r>
              <w:rPr>
                <w:sz w:val="24"/>
                <w:szCs w:val="24"/>
              </w:rPr>
              <w:t>Head of Health &amp; Communities</w:t>
            </w:r>
            <w:r w:rsidRPr="007F00B0">
              <w:rPr>
                <w:sz w:val="24"/>
                <w:szCs w:val="24"/>
              </w:rPr>
              <w:t xml:space="preserve"> does not authorise the</w:t>
            </w:r>
            <w:r>
              <w:rPr>
                <w:sz w:val="24"/>
                <w:szCs w:val="24"/>
              </w:rPr>
              <w:t xml:space="preserve"> award </w:t>
            </w:r>
            <w:r w:rsidRPr="007F00B0">
              <w:rPr>
                <w:sz w:val="24"/>
                <w:szCs w:val="24"/>
              </w:rPr>
              <w:t>of the contract</w:t>
            </w:r>
            <w:r>
              <w:rPr>
                <w:sz w:val="24"/>
                <w:szCs w:val="24"/>
              </w:rPr>
              <w:t>. This option is not recommended as it will not be possible to carry out the work that is reliant upon having this contract in place with the resultant risk to accessibility issues for people with mobility restrictions at Water Meadows.</w:t>
            </w:r>
          </w:p>
          <w:p w:rsidR="006772FF" w:rsidRPr="006772FF" w:rsidRDefault="006772FF" w:rsidP="006772FF">
            <w:pPr>
              <w:ind w:left="709" w:hanging="709"/>
              <w:rPr>
                <w:rFonts w:cs="Arial"/>
                <w:b/>
              </w:rPr>
            </w:pPr>
            <w:r w:rsidRPr="005D5EBE">
              <w:rPr>
                <w:rFonts w:cs="Arial"/>
              </w:rPr>
              <w:tab/>
            </w:r>
          </w:p>
        </w:tc>
      </w:tr>
      <w:tr w:rsidR="006772FF" w:rsidRPr="005D5EBE" w:rsidTr="00946291">
        <w:tc>
          <w:tcPr>
            <w:tcW w:w="8453" w:type="dxa"/>
            <w:gridSpan w:val="6"/>
            <w:shd w:val="clear" w:color="auto" w:fill="auto"/>
          </w:tcPr>
          <w:p w:rsidR="006772FF" w:rsidRDefault="006772FF" w:rsidP="00946291">
            <w:r>
              <w:t>Decision subject to call in:  No</w:t>
            </w:r>
          </w:p>
          <w:p w:rsidR="006772FF" w:rsidRPr="005D5EBE" w:rsidRDefault="006772FF" w:rsidP="00946291"/>
        </w:tc>
      </w:tr>
    </w:tbl>
    <w:p w:rsidR="006772FF" w:rsidRPr="0063716B" w:rsidRDefault="006772FF" w:rsidP="006772FF"/>
    <w:p w:rsidR="006772FF" w:rsidRDefault="006772FF" w:rsidP="006772FF">
      <w:pPr>
        <w:tabs>
          <w:tab w:val="left" w:pos="7473"/>
        </w:tabs>
      </w:pPr>
      <w:r>
        <w:t xml:space="preserve">Signed: </w:t>
      </w:r>
      <w:r w:rsidR="00AC4106">
        <w:t>David Evans, Head of Health &amp; Communities</w:t>
      </w:r>
    </w:p>
    <w:p w:rsidR="006772FF" w:rsidRDefault="006772FF" w:rsidP="006772FF">
      <w:pPr>
        <w:tabs>
          <w:tab w:val="left" w:pos="7473"/>
        </w:tabs>
      </w:pPr>
      <w:bookmarkStart w:id="0" w:name="_GoBack"/>
      <w:bookmarkEnd w:id="0"/>
    </w:p>
    <w:p w:rsidR="006772FF" w:rsidRPr="0063716B" w:rsidRDefault="006772FF" w:rsidP="006772FF">
      <w:pPr>
        <w:tabs>
          <w:tab w:val="left" w:pos="7473"/>
        </w:tabs>
      </w:pPr>
      <w:r>
        <w:t>Date 27.4.21</w:t>
      </w:r>
    </w:p>
    <w:p w:rsidR="006772FF" w:rsidRPr="0063716B" w:rsidRDefault="006772FF" w:rsidP="006772FF"/>
    <w:p w:rsidR="006772FF" w:rsidRPr="0063716B" w:rsidRDefault="006772FF" w:rsidP="006772FF">
      <w:r w:rsidRPr="0063716B">
        <w:t>Contact Officer:</w:t>
      </w:r>
      <w:r>
        <w:t xml:space="preserve"> Marie Clay, Leisure Services Manager</w:t>
      </w:r>
    </w:p>
    <w:p w:rsidR="00AF0A48" w:rsidRDefault="00AC4106" w:rsidP="006772FF"/>
    <w:sectPr w:rsidR="00AF0A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2FF"/>
    <w:rsid w:val="002B1BBB"/>
    <w:rsid w:val="005915BB"/>
    <w:rsid w:val="006772FF"/>
    <w:rsid w:val="00AC4106"/>
    <w:rsid w:val="00B20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33068"/>
  <w15:chartTrackingRefBased/>
  <w15:docId w15:val="{98F86AC0-99E2-41C7-BB0A-90925C333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2FF"/>
    <w:pPr>
      <w:spacing w:after="0" w:line="240" w:lineRule="auto"/>
      <w:jc w:val="both"/>
    </w:pPr>
    <w:rPr>
      <w:rFonts w:ascii="Arial" w:eastAsia="Times New Roman" w:hAnsi="Arial"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72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Wright</dc:creator>
  <cp:keywords/>
  <dc:description/>
  <cp:lastModifiedBy>Gabriella Wright</cp:lastModifiedBy>
  <cp:revision>3</cp:revision>
  <dcterms:created xsi:type="dcterms:W3CDTF">2021-04-27T12:45:00Z</dcterms:created>
  <dcterms:modified xsi:type="dcterms:W3CDTF">2021-04-27T12:49:00Z</dcterms:modified>
</cp:coreProperties>
</file>